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6DA6" w14:textId="77777777" w:rsidR="00F97291" w:rsidRDefault="00F97291">
      <w:pPr>
        <w:pStyle w:val="Title"/>
      </w:pPr>
      <w:r>
        <w:t xml:space="preserve">New </w:t>
      </w:r>
      <w:r w:rsidR="00D6112A" w:rsidRPr="0097430D">
        <w:t>Essex</w:t>
      </w:r>
      <w:r w:rsidR="005D1CE5" w:rsidRPr="0097430D">
        <w:t xml:space="preserve"> </w:t>
      </w:r>
      <w:r>
        <w:t xml:space="preserve">Unitary Authority </w:t>
      </w:r>
    </w:p>
    <w:p w14:paraId="3DA77004" w14:textId="618171BE" w:rsidR="00213952" w:rsidRPr="0097430D" w:rsidRDefault="005D1CE5">
      <w:pPr>
        <w:pStyle w:val="Title"/>
      </w:pPr>
      <w:r w:rsidRPr="0097430D">
        <w:t>LGR Programme Director</w:t>
      </w:r>
      <w:r w:rsidR="00F97291">
        <w:t xml:space="preserve"> -</w:t>
      </w:r>
      <w:r w:rsidRPr="0097430D">
        <w:t xml:space="preserve"> Role Profile </w:t>
      </w:r>
    </w:p>
    <w:p w14:paraId="018A8493" w14:textId="7AC0D3E2" w:rsidR="00213952" w:rsidRPr="0097430D" w:rsidRDefault="00D6112A">
      <w:pPr>
        <w:pStyle w:val="Heading1"/>
      </w:pPr>
      <w:r w:rsidRPr="0097430D">
        <w:t>Role</w:t>
      </w:r>
      <w:r w:rsidR="005D1CE5" w:rsidRPr="0097430D">
        <w:t xml:space="preserve"> Purpose</w:t>
      </w:r>
    </w:p>
    <w:p w14:paraId="3A0C99AD" w14:textId="0B25017F" w:rsidR="00213952" w:rsidRPr="00947021" w:rsidRDefault="005D1CE5" w:rsidP="00947021">
      <w:pPr>
        <w:pStyle w:val="ListBullet"/>
        <w:numPr>
          <w:ilvl w:val="0"/>
          <w:numId w:val="0"/>
        </w:numPr>
        <w:rPr>
          <w:rFonts w:ascii="Aptos" w:hAnsi="Aptos"/>
        </w:rPr>
      </w:pPr>
      <w:r w:rsidRPr="00947021">
        <w:rPr>
          <w:rFonts w:ascii="Aptos" w:hAnsi="Aptos"/>
        </w:rPr>
        <w:t xml:space="preserve">The </w:t>
      </w:r>
      <w:r w:rsidR="00D6112A" w:rsidRPr="00947021">
        <w:rPr>
          <w:rFonts w:ascii="Aptos" w:hAnsi="Aptos"/>
        </w:rPr>
        <w:t xml:space="preserve">Local </w:t>
      </w:r>
      <w:r w:rsidRPr="00947021">
        <w:rPr>
          <w:rFonts w:ascii="Aptos" w:hAnsi="Aptos"/>
        </w:rPr>
        <w:t xml:space="preserve">LGR Programme Director will provide effective, collaborative programme leadership to support </w:t>
      </w:r>
      <w:r w:rsidR="00D6112A" w:rsidRPr="00947021">
        <w:rPr>
          <w:rFonts w:ascii="Aptos" w:hAnsi="Aptos"/>
        </w:rPr>
        <w:t xml:space="preserve">the emerging </w:t>
      </w:r>
      <w:r w:rsidR="00F97291">
        <w:rPr>
          <w:rFonts w:ascii="Aptos" w:hAnsi="Aptos"/>
        </w:rPr>
        <w:t xml:space="preserve">new </w:t>
      </w:r>
      <w:r w:rsidR="00D6112A" w:rsidRPr="00947021">
        <w:rPr>
          <w:rFonts w:ascii="Aptos" w:hAnsi="Aptos"/>
        </w:rPr>
        <w:t>Unitary Authority’s</w:t>
      </w:r>
      <w:r w:rsidRPr="00947021">
        <w:rPr>
          <w:rFonts w:ascii="Aptos" w:hAnsi="Aptos"/>
        </w:rPr>
        <w:t xml:space="preserve"> preparation for local government reorganisation. The role will operate within a matrix model</w:t>
      </w:r>
      <w:r w:rsidR="00F97291">
        <w:rPr>
          <w:rFonts w:ascii="Aptos" w:hAnsi="Aptos"/>
        </w:rPr>
        <w:t>,</w:t>
      </w:r>
      <w:r w:rsidRPr="00947021">
        <w:rPr>
          <w:rFonts w:ascii="Aptos" w:hAnsi="Aptos"/>
        </w:rPr>
        <w:t xml:space="preserve"> balancing local accountability with system-wide alignment across Greater Essex, ensuring delivery is coherent, assured and aligned to the Central PMO direction.</w:t>
      </w:r>
    </w:p>
    <w:p w14:paraId="45F468E1" w14:textId="77777777" w:rsidR="00947021" w:rsidRDefault="00947021" w:rsidP="00947021">
      <w:pPr>
        <w:pStyle w:val="ListBullet"/>
        <w:numPr>
          <w:ilvl w:val="0"/>
          <w:numId w:val="0"/>
        </w:numPr>
        <w:rPr>
          <w:rFonts w:ascii="Aptos" w:hAnsi="Aptos"/>
        </w:rPr>
      </w:pPr>
    </w:p>
    <w:p w14:paraId="7CF228A5" w14:textId="6CB71331" w:rsidR="00D6112A" w:rsidRPr="00947021" w:rsidRDefault="00D6112A" w:rsidP="00947021">
      <w:pPr>
        <w:pStyle w:val="ListBullet"/>
        <w:numPr>
          <w:ilvl w:val="0"/>
          <w:numId w:val="0"/>
        </w:numPr>
        <w:rPr>
          <w:rFonts w:ascii="Aptos" w:hAnsi="Aptos"/>
        </w:rPr>
      </w:pPr>
      <w:r w:rsidRPr="00947021">
        <w:rPr>
          <w:rFonts w:ascii="Aptos" w:hAnsi="Aptos"/>
        </w:rPr>
        <w:t xml:space="preserve">The postholder will act as the principal operational lead for one of the emerging new Unitary Authority areas within the Essex programme, translating and integrating the strategic direction of the Shadow Board and the Greater Essex Implementation Plan with local implementation priorities.  They will also ensure that local priorities, risks, dependencies, opportunities and delivery realities are fed back into the wider Greater Essex implementation system, so that system-wide workstreams remain grounded in what is practical and necessary within </w:t>
      </w:r>
      <w:r w:rsidR="0097430D" w:rsidRPr="00947021">
        <w:rPr>
          <w:rFonts w:ascii="Aptos" w:hAnsi="Aptos"/>
        </w:rPr>
        <w:t>each new unitary authority area</w:t>
      </w:r>
      <w:r w:rsidRPr="00947021">
        <w:rPr>
          <w:rFonts w:ascii="Aptos" w:hAnsi="Aptos"/>
        </w:rPr>
        <w:t xml:space="preserve">. The Programme Director will build trust and confidence across all </w:t>
      </w:r>
      <w:r w:rsidR="00F97291">
        <w:rPr>
          <w:rFonts w:ascii="Aptos" w:hAnsi="Aptos"/>
        </w:rPr>
        <w:t>predecessor</w:t>
      </w:r>
      <w:r w:rsidRPr="00947021">
        <w:rPr>
          <w:rFonts w:ascii="Aptos" w:hAnsi="Aptos"/>
        </w:rPr>
        <w:t xml:space="preserve"> </w:t>
      </w:r>
      <w:r w:rsidR="0097430D" w:rsidRPr="00947021">
        <w:rPr>
          <w:rFonts w:ascii="Aptos" w:hAnsi="Aptos"/>
        </w:rPr>
        <w:t>councils</w:t>
      </w:r>
      <w:r w:rsidR="00F97291">
        <w:rPr>
          <w:rFonts w:ascii="Aptos" w:hAnsi="Aptos"/>
        </w:rPr>
        <w:t xml:space="preserve"> within the new unitary authority area</w:t>
      </w:r>
      <w:r w:rsidR="0097430D" w:rsidRPr="00947021">
        <w:rPr>
          <w:rFonts w:ascii="Aptos" w:hAnsi="Aptos"/>
        </w:rPr>
        <w:t xml:space="preserve"> </w:t>
      </w:r>
      <w:r w:rsidRPr="00947021">
        <w:rPr>
          <w:rFonts w:ascii="Aptos" w:hAnsi="Aptos"/>
        </w:rPr>
        <w:t>and with central government, ensuring that preparation activities deliver benefit to residents and services now</w:t>
      </w:r>
      <w:r w:rsidR="00F97291">
        <w:rPr>
          <w:rFonts w:ascii="Aptos" w:hAnsi="Aptos"/>
        </w:rPr>
        <w:t>,</w:t>
      </w:r>
      <w:r w:rsidRPr="00947021">
        <w:rPr>
          <w:rFonts w:ascii="Aptos" w:hAnsi="Aptos"/>
        </w:rPr>
        <w:t xml:space="preserve"> and position </w:t>
      </w:r>
      <w:r w:rsidR="0097430D" w:rsidRPr="00947021">
        <w:rPr>
          <w:rFonts w:ascii="Aptos" w:hAnsi="Aptos"/>
        </w:rPr>
        <w:t>the area</w:t>
      </w:r>
      <w:r w:rsidRPr="00947021">
        <w:rPr>
          <w:rFonts w:ascii="Aptos" w:hAnsi="Aptos"/>
        </w:rPr>
        <w:t xml:space="preserve"> for a successful transition to a single unitary authority.</w:t>
      </w:r>
    </w:p>
    <w:p w14:paraId="710E37E0" w14:textId="77777777" w:rsidR="00D6112A" w:rsidRPr="00947021" w:rsidRDefault="00D6112A" w:rsidP="00947021">
      <w:pPr>
        <w:pStyle w:val="ListBullet"/>
        <w:numPr>
          <w:ilvl w:val="0"/>
          <w:numId w:val="0"/>
        </w:numPr>
        <w:rPr>
          <w:rFonts w:ascii="Aptos" w:hAnsi="Aptos"/>
        </w:rPr>
      </w:pPr>
    </w:p>
    <w:p w14:paraId="498288FB" w14:textId="67F68EE8" w:rsidR="00D6112A" w:rsidRPr="00947021" w:rsidRDefault="00D6112A" w:rsidP="00947021">
      <w:pPr>
        <w:pStyle w:val="ListBullet"/>
        <w:numPr>
          <w:ilvl w:val="0"/>
          <w:numId w:val="0"/>
        </w:numPr>
        <w:rPr>
          <w:rFonts w:ascii="Aptos" w:hAnsi="Aptos"/>
        </w:rPr>
      </w:pPr>
      <w:r w:rsidRPr="00947021">
        <w:rPr>
          <w:rFonts w:ascii="Aptos" w:hAnsi="Aptos"/>
        </w:rPr>
        <w:t xml:space="preserve">Critically, this role is designed to generate lasting value. The collaborative structures, joint working arrangements and programme disciplines established under this appointment should prove durable and beneficial to the area. </w:t>
      </w:r>
    </w:p>
    <w:p w14:paraId="2FCDE1B9" w14:textId="77777777" w:rsidR="00D6112A" w:rsidRPr="00947021" w:rsidRDefault="00D6112A" w:rsidP="00947021">
      <w:pPr>
        <w:pStyle w:val="ListBullet"/>
        <w:numPr>
          <w:ilvl w:val="0"/>
          <w:numId w:val="0"/>
        </w:numPr>
        <w:rPr>
          <w:rFonts w:ascii="Aptos" w:hAnsi="Aptos"/>
        </w:rPr>
      </w:pPr>
    </w:p>
    <w:p w14:paraId="1FDA9767" w14:textId="59AD537B" w:rsidR="00D6112A" w:rsidRPr="00947021" w:rsidRDefault="00D6112A" w:rsidP="00947021">
      <w:pPr>
        <w:pStyle w:val="ListBullet"/>
        <w:numPr>
          <w:ilvl w:val="0"/>
          <w:numId w:val="0"/>
        </w:numPr>
        <w:rPr>
          <w:rFonts w:ascii="Aptos" w:hAnsi="Aptos"/>
        </w:rPr>
      </w:pPr>
      <w:r w:rsidRPr="00947021">
        <w:rPr>
          <w:rFonts w:ascii="Aptos" w:hAnsi="Aptos"/>
        </w:rPr>
        <w:t xml:space="preserve">The role requires strong system leadership, pace, collaboration and assurance to ensure the </w:t>
      </w:r>
      <w:r w:rsidR="0097430D" w:rsidRPr="00947021">
        <w:rPr>
          <w:rFonts w:ascii="Aptos" w:hAnsi="Aptos"/>
        </w:rPr>
        <w:t>new unitary</w:t>
      </w:r>
      <w:r w:rsidRPr="00947021">
        <w:rPr>
          <w:rFonts w:ascii="Aptos" w:hAnsi="Aptos"/>
        </w:rPr>
        <w:t xml:space="preserve"> </w:t>
      </w:r>
      <w:r w:rsidR="0097430D" w:rsidRPr="00947021">
        <w:rPr>
          <w:rFonts w:ascii="Aptos" w:hAnsi="Aptos"/>
        </w:rPr>
        <w:t>a</w:t>
      </w:r>
      <w:r w:rsidRPr="00947021">
        <w:rPr>
          <w:rFonts w:ascii="Aptos" w:hAnsi="Aptos"/>
        </w:rPr>
        <w:t>uthority is operational, resilient and credible from vesting day.</w:t>
      </w:r>
    </w:p>
    <w:p w14:paraId="10704404" w14:textId="77777777" w:rsidR="00213952" w:rsidRPr="0097430D" w:rsidRDefault="005D1CE5">
      <w:pPr>
        <w:pStyle w:val="Heading1"/>
      </w:pPr>
      <w:r w:rsidRPr="0097430D">
        <w:t>Key Responsibilities</w:t>
      </w:r>
    </w:p>
    <w:p w14:paraId="3DEDF4F1" w14:textId="77777777" w:rsidR="00213952" w:rsidRPr="0097430D" w:rsidRDefault="005D1CE5">
      <w:pPr>
        <w:pStyle w:val="Heading2"/>
      </w:pPr>
      <w:r w:rsidRPr="0097430D">
        <w:t>Programme Leadership and Delivery</w:t>
      </w:r>
    </w:p>
    <w:p w14:paraId="6CDA90D3" w14:textId="68721F3D" w:rsidR="00213952" w:rsidRPr="00947021" w:rsidRDefault="005D1CE5">
      <w:pPr>
        <w:pStyle w:val="ListBullet"/>
        <w:rPr>
          <w:rFonts w:ascii="Aptos" w:hAnsi="Aptos"/>
        </w:rPr>
      </w:pPr>
      <w:r w:rsidRPr="00947021">
        <w:rPr>
          <w:rFonts w:ascii="Aptos" w:hAnsi="Aptos"/>
        </w:rPr>
        <w:t xml:space="preserve">Lead the </w:t>
      </w:r>
      <w:r w:rsidR="0097430D" w:rsidRPr="00947021">
        <w:rPr>
          <w:rFonts w:ascii="Aptos" w:hAnsi="Aptos"/>
        </w:rPr>
        <w:t>area’s</w:t>
      </w:r>
      <w:r w:rsidRPr="00947021">
        <w:rPr>
          <w:rFonts w:ascii="Aptos" w:hAnsi="Aptos"/>
        </w:rPr>
        <w:t xml:space="preserve"> LGR programme ensuring aligned delivery with the Greater Essex Implementation Plan.</w:t>
      </w:r>
    </w:p>
    <w:p w14:paraId="17F2CF3D" w14:textId="77777777" w:rsidR="00213952" w:rsidRPr="00947021" w:rsidRDefault="005D1CE5">
      <w:pPr>
        <w:pStyle w:val="ListBullet"/>
        <w:rPr>
          <w:rFonts w:ascii="Aptos" w:hAnsi="Aptos"/>
        </w:rPr>
      </w:pPr>
      <w:r w:rsidRPr="00947021">
        <w:rPr>
          <w:rFonts w:ascii="Aptos" w:hAnsi="Aptos"/>
        </w:rPr>
        <w:t>Operate within a matrix model balancing local delivery with system-wide priorities and frameworks.</w:t>
      </w:r>
    </w:p>
    <w:p w14:paraId="59050FE1" w14:textId="77777777" w:rsidR="00213952" w:rsidRPr="00947021" w:rsidRDefault="005D1CE5">
      <w:pPr>
        <w:pStyle w:val="ListBullet"/>
        <w:rPr>
          <w:rFonts w:ascii="Aptos" w:hAnsi="Aptos"/>
        </w:rPr>
      </w:pPr>
      <w:r w:rsidRPr="00947021">
        <w:rPr>
          <w:rFonts w:ascii="Aptos" w:hAnsi="Aptos"/>
        </w:rPr>
        <w:t>Ensure local sequencing aligns with system-wide disaggregation and dependencies.</w:t>
      </w:r>
    </w:p>
    <w:p w14:paraId="323F17D6" w14:textId="77777777" w:rsidR="00213952" w:rsidRPr="00947021" w:rsidRDefault="005D1CE5">
      <w:pPr>
        <w:pStyle w:val="ListBullet"/>
        <w:rPr>
          <w:rFonts w:ascii="Aptos" w:hAnsi="Aptos"/>
        </w:rPr>
      </w:pPr>
      <w:r w:rsidRPr="00947021">
        <w:rPr>
          <w:rFonts w:ascii="Aptos" w:hAnsi="Aptos"/>
        </w:rPr>
        <w:lastRenderedPageBreak/>
        <w:t>Maintain integrated programme plans including risks, dependencies and benefits realisation.</w:t>
      </w:r>
    </w:p>
    <w:p w14:paraId="39823234" w14:textId="77777777" w:rsidR="00213952" w:rsidRPr="00947021" w:rsidRDefault="005D1CE5">
      <w:pPr>
        <w:pStyle w:val="ListBullet"/>
        <w:rPr>
          <w:rFonts w:ascii="Aptos" w:hAnsi="Aptos"/>
        </w:rPr>
      </w:pPr>
      <w:r w:rsidRPr="00947021">
        <w:rPr>
          <w:rFonts w:ascii="Aptos" w:hAnsi="Aptos"/>
        </w:rPr>
        <w:t>Ensure Day One readiness and safe transition to vesting day.</w:t>
      </w:r>
    </w:p>
    <w:p w14:paraId="781825F9" w14:textId="77777777" w:rsidR="0097430D" w:rsidRPr="00947021" w:rsidRDefault="0097430D" w:rsidP="0097430D">
      <w:pPr>
        <w:pStyle w:val="ListBullet"/>
        <w:rPr>
          <w:rFonts w:ascii="Aptos" w:hAnsi="Aptos"/>
        </w:rPr>
      </w:pPr>
      <w:r w:rsidRPr="00947021">
        <w:rPr>
          <w:rFonts w:ascii="Aptos" w:hAnsi="Aptos"/>
        </w:rPr>
        <w:t>Maintain momentum and delivery pace while working sensitively within the political and legal constraints of the voluntary phase.</w:t>
      </w:r>
    </w:p>
    <w:p w14:paraId="5175BEBD" w14:textId="02C97177" w:rsidR="0097430D" w:rsidRPr="00947021" w:rsidRDefault="0097430D" w:rsidP="0097430D">
      <w:pPr>
        <w:pStyle w:val="ListBullet"/>
        <w:rPr>
          <w:rFonts w:ascii="Aptos" w:hAnsi="Aptos"/>
        </w:rPr>
      </w:pPr>
      <w:r w:rsidRPr="00947021">
        <w:rPr>
          <w:rFonts w:ascii="Aptos" w:hAnsi="Aptos"/>
        </w:rPr>
        <w:t>To engage with senior teams across the consolidating authorities to ensure support and contribution is consistent.</w:t>
      </w:r>
    </w:p>
    <w:p w14:paraId="2D23271D" w14:textId="77777777" w:rsidR="0097430D" w:rsidRPr="00947021" w:rsidRDefault="0097430D" w:rsidP="0097430D">
      <w:pPr>
        <w:pStyle w:val="ListBullet"/>
        <w:rPr>
          <w:rFonts w:ascii="Aptos" w:hAnsi="Aptos"/>
        </w:rPr>
      </w:pPr>
      <w:r w:rsidRPr="00947021">
        <w:rPr>
          <w:rFonts w:ascii="Aptos" w:hAnsi="Aptos"/>
        </w:rPr>
        <w:t>Lead local readiness planning during Transition Stage 1 (June 2026 – April 2027), including the coordination of predecessor council inputs, assembly of assurance evidence, management of local risks and dependencies, and preparation of the information needed to support Joint Committee oversight of implementation, transitional funding, legal and constitutional groundwork, electoral preparation, and stakeholder and public engagement.</w:t>
      </w:r>
    </w:p>
    <w:p w14:paraId="38A03DD5" w14:textId="77777777" w:rsidR="0097430D" w:rsidRPr="00947021" w:rsidRDefault="0097430D" w:rsidP="0097430D">
      <w:pPr>
        <w:pStyle w:val="ListBullet"/>
        <w:rPr>
          <w:rFonts w:ascii="Aptos" w:hAnsi="Aptos"/>
        </w:rPr>
      </w:pPr>
      <w:r w:rsidRPr="00947021">
        <w:rPr>
          <w:rFonts w:ascii="Aptos" w:hAnsi="Aptos"/>
        </w:rPr>
        <w:t>Coordinate Transition Stage 2 implementation planning (May 2027 – March 2028), bringing together service-by-service continuity and transition plans into a coherent local operating model and ensuring practical arrangements are developed for service integration, customer access, neighbourhood working, leadership presence, asset use and partner interfaces ahead of vesting day.</w:t>
      </w:r>
    </w:p>
    <w:p w14:paraId="1B497702" w14:textId="77777777" w:rsidR="0097430D" w:rsidRPr="0097430D" w:rsidRDefault="0097430D" w:rsidP="0097430D">
      <w:pPr>
        <w:pStyle w:val="ListBullet"/>
        <w:numPr>
          <w:ilvl w:val="0"/>
          <w:numId w:val="0"/>
        </w:numPr>
        <w:ind w:left="360"/>
      </w:pPr>
    </w:p>
    <w:p w14:paraId="52CCB6FA" w14:textId="77777777" w:rsidR="00213952" w:rsidRPr="0097430D" w:rsidRDefault="005D1CE5">
      <w:pPr>
        <w:pStyle w:val="Heading2"/>
      </w:pPr>
      <w:r w:rsidRPr="0097430D">
        <w:t>System Integration and Central PMO Alignment</w:t>
      </w:r>
    </w:p>
    <w:p w14:paraId="1294769B" w14:textId="77777777" w:rsidR="00213952" w:rsidRPr="00947021" w:rsidRDefault="005D1CE5">
      <w:pPr>
        <w:pStyle w:val="ListBullet"/>
        <w:rPr>
          <w:rFonts w:ascii="Aptos" w:hAnsi="Aptos"/>
        </w:rPr>
      </w:pPr>
      <w:r w:rsidRPr="00947021">
        <w:rPr>
          <w:rFonts w:ascii="Aptos" w:hAnsi="Aptos"/>
        </w:rPr>
        <w:t>Operate as part of the integrated Greater Essex PMO structure.</w:t>
      </w:r>
    </w:p>
    <w:p w14:paraId="6496CD5B" w14:textId="77777777" w:rsidR="00213952" w:rsidRPr="00947021" w:rsidRDefault="005D1CE5">
      <w:pPr>
        <w:pStyle w:val="ListBullet"/>
        <w:rPr>
          <w:rFonts w:ascii="Aptos" w:hAnsi="Aptos"/>
        </w:rPr>
      </w:pPr>
      <w:r w:rsidRPr="00947021">
        <w:rPr>
          <w:rFonts w:ascii="Aptos" w:hAnsi="Aptos"/>
        </w:rPr>
        <w:t>Adopt system-wide programme standards, reporting frameworks and assurance processes.</w:t>
      </w:r>
    </w:p>
    <w:p w14:paraId="08510CFB" w14:textId="77777777" w:rsidR="00213952" w:rsidRPr="00947021" w:rsidRDefault="005D1CE5">
      <w:pPr>
        <w:pStyle w:val="ListBullet"/>
        <w:rPr>
          <w:rFonts w:ascii="Aptos" w:hAnsi="Aptos"/>
        </w:rPr>
      </w:pPr>
      <w:r w:rsidRPr="00947021">
        <w:rPr>
          <w:rFonts w:ascii="Aptos" w:hAnsi="Aptos"/>
        </w:rPr>
        <w:t>Respond to direction, coordination and escalation from the Central PMO.</w:t>
      </w:r>
    </w:p>
    <w:p w14:paraId="286BA265" w14:textId="77777777" w:rsidR="00213952" w:rsidRPr="00947021" w:rsidRDefault="005D1CE5">
      <w:pPr>
        <w:pStyle w:val="ListBullet"/>
        <w:rPr>
          <w:rFonts w:ascii="Aptos" w:hAnsi="Aptos"/>
        </w:rPr>
      </w:pPr>
      <w:r w:rsidRPr="00947021">
        <w:rPr>
          <w:rFonts w:ascii="Aptos" w:hAnsi="Aptos"/>
        </w:rPr>
        <w:t>Contribute to system-wide reporting and performance monitoring.</w:t>
      </w:r>
    </w:p>
    <w:p w14:paraId="4441D2C9" w14:textId="77777777" w:rsidR="00213952" w:rsidRPr="00947021" w:rsidRDefault="005D1CE5">
      <w:pPr>
        <w:pStyle w:val="ListBullet"/>
        <w:rPr>
          <w:rFonts w:ascii="Aptos" w:hAnsi="Aptos"/>
        </w:rPr>
      </w:pPr>
      <w:r w:rsidRPr="00947021">
        <w:rPr>
          <w:rFonts w:ascii="Aptos" w:hAnsi="Aptos"/>
        </w:rPr>
        <w:t>Ensure consistency of approach across all locality PMOs.</w:t>
      </w:r>
    </w:p>
    <w:p w14:paraId="20B433B0" w14:textId="77777777" w:rsidR="001A68BC" w:rsidRPr="0097430D" w:rsidRDefault="001A68BC" w:rsidP="001A68BC">
      <w:pPr>
        <w:pStyle w:val="ListBullet"/>
        <w:numPr>
          <w:ilvl w:val="0"/>
          <w:numId w:val="0"/>
        </w:numPr>
        <w:ind w:left="360"/>
      </w:pPr>
    </w:p>
    <w:p w14:paraId="2C40378C" w14:textId="77777777" w:rsidR="00213952" w:rsidRPr="0097430D" w:rsidRDefault="005D1CE5">
      <w:pPr>
        <w:pStyle w:val="Heading2"/>
      </w:pPr>
      <w:r w:rsidRPr="0097430D">
        <w:t>Governance and Assurance</w:t>
      </w:r>
    </w:p>
    <w:p w14:paraId="369FB71F" w14:textId="77777777" w:rsidR="00213952" w:rsidRPr="00947021" w:rsidRDefault="005D1CE5">
      <w:pPr>
        <w:pStyle w:val="ListBullet"/>
        <w:rPr>
          <w:rFonts w:ascii="Aptos" w:hAnsi="Aptos"/>
        </w:rPr>
      </w:pPr>
      <w:r w:rsidRPr="00947021">
        <w:rPr>
          <w:rFonts w:ascii="Aptos" w:hAnsi="Aptos"/>
        </w:rPr>
        <w:t>Operate within dual governance arrangements, reporting to both local and system-level boards.</w:t>
      </w:r>
    </w:p>
    <w:p w14:paraId="2841021F" w14:textId="6CEC3541" w:rsidR="00213952" w:rsidRPr="00947021" w:rsidRDefault="005D1CE5">
      <w:pPr>
        <w:pStyle w:val="ListBullet"/>
        <w:rPr>
          <w:rFonts w:ascii="Aptos" w:hAnsi="Aptos"/>
        </w:rPr>
      </w:pPr>
      <w:r w:rsidRPr="00947021">
        <w:rPr>
          <w:rFonts w:ascii="Aptos" w:hAnsi="Aptos"/>
        </w:rPr>
        <w:t>Ensure compliance with public sector assurance requirements</w:t>
      </w:r>
      <w:r w:rsidR="0015395E" w:rsidRPr="00947021">
        <w:rPr>
          <w:rFonts w:ascii="Aptos" w:hAnsi="Aptos"/>
        </w:rPr>
        <w:t xml:space="preserve"> including risk and issue management, dependency tracking, benefits realisation planning and audit readiness</w:t>
      </w:r>
    </w:p>
    <w:p w14:paraId="21F69093" w14:textId="02FD0013" w:rsidR="0015395E" w:rsidRPr="00947021" w:rsidRDefault="0015395E" w:rsidP="0015395E">
      <w:pPr>
        <w:pStyle w:val="ListBullet"/>
        <w:rPr>
          <w:rFonts w:ascii="Aptos" w:hAnsi="Aptos"/>
        </w:rPr>
      </w:pPr>
      <w:r w:rsidRPr="00947021">
        <w:rPr>
          <w:rFonts w:ascii="Aptos" w:hAnsi="Aptos"/>
        </w:rPr>
        <w:t>Provide transparent, high-quality assurance reporting to the Shadow Board, the Joint Committee, the Place Lead and the Greater Essex Implementation Team.</w:t>
      </w:r>
    </w:p>
    <w:p w14:paraId="004BF8C5" w14:textId="7F457CEA" w:rsidR="0015395E" w:rsidRPr="00947021" w:rsidRDefault="0015395E" w:rsidP="0015395E">
      <w:pPr>
        <w:pStyle w:val="ListBullet"/>
        <w:rPr>
          <w:rFonts w:ascii="Aptos" w:hAnsi="Aptos"/>
        </w:rPr>
      </w:pPr>
      <w:r w:rsidRPr="00947021">
        <w:rPr>
          <w:rFonts w:ascii="Aptos" w:hAnsi="Aptos"/>
        </w:rPr>
        <w:t>Support the Joint Committee in exercising its governance responsibilities, including preparing or commissioning agenda papers, decision reports and programme updates as required</w:t>
      </w:r>
    </w:p>
    <w:p w14:paraId="0A351B52" w14:textId="77777777" w:rsidR="001A68BC" w:rsidRPr="0015395E" w:rsidRDefault="001A68BC" w:rsidP="001A68BC">
      <w:pPr>
        <w:pStyle w:val="ListBullet"/>
        <w:numPr>
          <w:ilvl w:val="0"/>
          <w:numId w:val="0"/>
        </w:numPr>
        <w:ind w:left="360"/>
      </w:pPr>
    </w:p>
    <w:p w14:paraId="1F29F3CE" w14:textId="77777777" w:rsidR="00213952" w:rsidRPr="0097430D" w:rsidRDefault="005D1CE5">
      <w:pPr>
        <w:pStyle w:val="Heading2"/>
      </w:pPr>
      <w:r w:rsidRPr="0097430D">
        <w:lastRenderedPageBreak/>
        <w:t>Stakeholder and Political Engagement</w:t>
      </w:r>
    </w:p>
    <w:p w14:paraId="277AF869" w14:textId="77777777" w:rsidR="00213952" w:rsidRPr="00947021" w:rsidRDefault="005D1CE5">
      <w:pPr>
        <w:pStyle w:val="ListBullet"/>
        <w:rPr>
          <w:rFonts w:ascii="Aptos" w:hAnsi="Aptos"/>
        </w:rPr>
      </w:pPr>
      <w:r w:rsidRPr="00947021">
        <w:rPr>
          <w:rFonts w:ascii="Aptos" w:hAnsi="Aptos"/>
        </w:rPr>
        <w:t>Build strong relationships with Members, Chief Executives and partners.</w:t>
      </w:r>
    </w:p>
    <w:p w14:paraId="33988E11" w14:textId="41DF848A" w:rsidR="00213952" w:rsidRPr="00947021" w:rsidRDefault="005D1CE5">
      <w:pPr>
        <w:pStyle w:val="ListBullet"/>
        <w:rPr>
          <w:rFonts w:ascii="Aptos" w:hAnsi="Aptos"/>
        </w:rPr>
      </w:pPr>
      <w:r w:rsidRPr="00947021">
        <w:rPr>
          <w:rFonts w:ascii="Aptos" w:hAnsi="Aptos"/>
        </w:rPr>
        <w:t>Act as interface with Greater Essex Implementation Team and government departments</w:t>
      </w:r>
      <w:r w:rsidR="0097430D" w:rsidRPr="00947021">
        <w:rPr>
          <w:rFonts w:ascii="Aptos" w:hAnsi="Aptos"/>
        </w:rPr>
        <w:t xml:space="preserve"> ensuring the area's interests, risks and progress are clearly and accurately articulated</w:t>
      </w:r>
    </w:p>
    <w:p w14:paraId="52C3CA50" w14:textId="77777777" w:rsidR="0015395E" w:rsidRPr="00947021" w:rsidRDefault="005D1CE5" w:rsidP="0015395E">
      <w:pPr>
        <w:pStyle w:val="ListBullet"/>
        <w:rPr>
          <w:rFonts w:ascii="Aptos" w:hAnsi="Aptos"/>
        </w:rPr>
      </w:pPr>
      <w:r w:rsidRPr="00947021">
        <w:rPr>
          <w:rFonts w:ascii="Aptos" w:hAnsi="Aptos"/>
        </w:rPr>
        <w:t>Ensure two-way flow of information between local and system programmes.</w:t>
      </w:r>
    </w:p>
    <w:p w14:paraId="5C98AD73" w14:textId="1E9B9890" w:rsidR="0015395E" w:rsidRPr="00947021" w:rsidRDefault="0015395E" w:rsidP="0015395E">
      <w:pPr>
        <w:pStyle w:val="ListBullet"/>
        <w:rPr>
          <w:rFonts w:ascii="Aptos" w:hAnsi="Aptos"/>
        </w:rPr>
      </w:pPr>
      <w:r w:rsidRPr="00947021">
        <w:rPr>
          <w:rFonts w:ascii="Aptos" w:hAnsi="Aptos"/>
        </w:rPr>
        <w:t>Provide clear, balanced and evidence-based advice to the Place Lead, Shadow Board and Joint Committee, enabling well-informed decisions in a complex and evolving environment.</w:t>
      </w:r>
    </w:p>
    <w:p w14:paraId="5D2E40C9" w14:textId="77777777" w:rsidR="0097430D" w:rsidRPr="00947021" w:rsidRDefault="0097430D" w:rsidP="0097430D">
      <w:pPr>
        <w:pStyle w:val="ListBullet"/>
        <w:rPr>
          <w:rFonts w:ascii="Aptos" w:hAnsi="Aptos"/>
        </w:rPr>
      </w:pPr>
      <w:r w:rsidRPr="00947021">
        <w:rPr>
          <w:rFonts w:ascii="Aptos" w:hAnsi="Aptos"/>
        </w:rPr>
        <w:t>Engage with system partners particularly Health, Fire and Police to ensure effective and well-resourced system collaboration.</w:t>
      </w:r>
    </w:p>
    <w:p w14:paraId="32DE2B43" w14:textId="77777777" w:rsidR="0097430D" w:rsidRPr="0097430D" w:rsidRDefault="0097430D" w:rsidP="0097430D">
      <w:pPr>
        <w:pStyle w:val="ListBullet"/>
        <w:numPr>
          <w:ilvl w:val="0"/>
          <w:numId w:val="0"/>
        </w:numPr>
        <w:ind w:left="360"/>
      </w:pPr>
    </w:p>
    <w:p w14:paraId="4AFFFE4F" w14:textId="77777777" w:rsidR="00213952" w:rsidRPr="0097430D" w:rsidRDefault="005D1CE5">
      <w:pPr>
        <w:pStyle w:val="Heading2"/>
      </w:pPr>
      <w:r w:rsidRPr="0097430D">
        <w:t>Collaborative Working and Culture</w:t>
      </w:r>
    </w:p>
    <w:p w14:paraId="59CC0B38" w14:textId="77777777" w:rsidR="00213952" w:rsidRPr="00947021" w:rsidRDefault="005D1CE5">
      <w:pPr>
        <w:pStyle w:val="ListBullet"/>
        <w:rPr>
          <w:rFonts w:ascii="Aptos" w:hAnsi="Aptos"/>
        </w:rPr>
      </w:pPr>
      <w:r w:rsidRPr="00947021">
        <w:rPr>
          <w:rFonts w:ascii="Aptos" w:hAnsi="Aptos"/>
        </w:rPr>
        <w:t>Promote a 'one team, five councils' culture across all PMOs.</w:t>
      </w:r>
    </w:p>
    <w:p w14:paraId="03D73A1D" w14:textId="77777777" w:rsidR="00213952" w:rsidRPr="00947021" w:rsidRDefault="005D1CE5">
      <w:pPr>
        <w:pStyle w:val="ListBullet"/>
        <w:rPr>
          <w:rFonts w:ascii="Aptos" w:hAnsi="Aptos"/>
        </w:rPr>
      </w:pPr>
      <w:r w:rsidRPr="00947021">
        <w:rPr>
          <w:rFonts w:ascii="Aptos" w:hAnsi="Aptos"/>
        </w:rPr>
        <w:t>Balance local autonomy with system-wide integrity of the programme.</w:t>
      </w:r>
    </w:p>
    <w:p w14:paraId="72DD2B0C" w14:textId="77777777" w:rsidR="00213952" w:rsidRPr="00947021" w:rsidRDefault="005D1CE5">
      <w:pPr>
        <w:pStyle w:val="ListBullet"/>
        <w:rPr>
          <w:rFonts w:ascii="Aptos" w:hAnsi="Aptos"/>
        </w:rPr>
      </w:pPr>
      <w:r w:rsidRPr="00947021">
        <w:rPr>
          <w:rFonts w:ascii="Aptos" w:hAnsi="Aptos"/>
        </w:rPr>
        <w:t>Share best practice and learning across Essex.</w:t>
      </w:r>
    </w:p>
    <w:p w14:paraId="42D0AFAB" w14:textId="57E85366" w:rsidR="001A68BC" w:rsidRPr="00947021" w:rsidRDefault="001A68BC" w:rsidP="001A68BC">
      <w:pPr>
        <w:pStyle w:val="ListBullet"/>
        <w:rPr>
          <w:rFonts w:ascii="Aptos" w:hAnsi="Aptos"/>
        </w:rPr>
      </w:pPr>
      <w:r w:rsidRPr="00947021">
        <w:rPr>
          <w:rFonts w:ascii="Aptos" w:hAnsi="Aptos"/>
        </w:rPr>
        <w:t xml:space="preserve">Work across organisational boundaries to build a shared sense of purpose and mutual trust among officers and Members from all </w:t>
      </w:r>
      <w:r w:rsidR="00F97291">
        <w:rPr>
          <w:rFonts w:ascii="Aptos" w:hAnsi="Aptos"/>
        </w:rPr>
        <w:t xml:space="preserve">predecessor </w:t>
      </w:r>
      <w:r w:rsidRPr="00947021">
        <w:rPr>
          <w:rFonts w:ascii="Aptos" w:hAnsi="Aptos"/>
        </w:rPr>
        <w:t>councils.</w:t>
      </w:r>
    </w:p>
    <w:p w14:paraId="5AF012BA" w14:textId="77777777" w:rsidR="001A68BC" w:rsidRPr="00947021" w:rsidRDefault="001A68BC" w:rsidP="001A68BC">
      <w:pPr>
        <w:pStyle w:val="ListBullet"/>
        <w:rPr>
          <w:rFonts w:ascii="Aptos" w:hAnsi="Aptos"/>
        </w:rPr>
      </w:pPr>
      <w:r w:rsidRPr="00947021">
        <w:rPr>
          <w:rFonts w:ascii="Aptos" w:hAnsi="Aptos"/>
        </w:rPr>
        <w:t>Foster a programme culture that is open, inclusive and resilient, able to absorb uncertainty and maintain momentum through political and operational challenges.</w:t>
      </w:r>
    </w:p>
    <w:p w14:paraId="470B6115" w14:textId="062660B5" w:rsidR="001A68BC" w:rsidRPr="00947021" w:rsidRDefault="001A68BC" w:rsidP="001A68BC">
      <w:pPr>
        <w:pStyle w:val="ListBullet"/>
        <w:rPr>
          <w:rFonts w:ascii="Aptos" w:hAnsi="Aptos"/>
        </w:rPr>
      </w:pPr>
      <w:r w:rsidRPr="00947021">
        <w:rPr>
          <w:rFonts w:ascii="Aptos" w:hAnsi="Aptos"/>
        </w:rPr>
        <w:t>Champion the local resident’s and community’s interests throughout, ensuring service continuity and public confidence are always protected.</w:t>
      </w:r>
    </w:p>
    <w:p w14:paraId="0AD9DC9A" w14:textId="77777777" w:rsidR="001A68BC" w:rsidRPr="0097430D" w:rsidRDefault="001A68BC" w:rsidP="001A68BC">
      <w:pPr>
        <w:pStyle w:val="ListBullet"/>
        <w:numPr>
          <w:ilvl w:val="0"/>
          <w:numId w:val="0"/>
        </w:numPr>
      </w:pPr>
    </w:p>
    <w:p w14:paraId="29C95443" w14:textId="77777777" w:rsidR="00213952" w:rsidRPr="0097430D" w:rsidRDefault="005D1CE5">
      <w:pPr>
        <w:pStyle w:val="Heading2"/>
      </w:pPr>
      <w:r w:rsidRPr="0097430D">
        <w:t>Risk and Dependency Management</w:t>
      </w:r>
    </w:p>
    <w:p w14:paraId="2BB24D35" w14:textId="77777777" w:rsidR="00213952" w:rsidRPr="00947021" w:rsidRDefault="005D1CE5">
      <w:pPr>
        <w:pStyle w:val="ListBullet"/>
        <w:rPr>
          <w:rFonts w:ascii="Aptos" w:hAnsi="Aptos"/>
        </w:rPr>
      </w:pPr>
      <w:r w:rsidRPr="00947021">
        <w:rPr>
          <w:rFonts w:ascii="Aptos" w:hAnsi="Aptos"/>
        </w:rPr>
        <w:t>Manage local and system-wide risks and dependencies.</w:t>
      </w:r>
    </w:p>
    <w:p w14:paraId="7248ACF0" w14:textId="77777777" w:rsidR="00213952" w:rsidRPr="00947021" w:rsidRDefault="005D1CE5">
      <w:pPr>
        <w:pStyle w:val="ListBullet"/>
        <w:rPr>
          <w:rFonts w:ascii="Aptos" w:hAnsi="Aptos"/>
        </w:rPr>
      </w:pPr>
      <w:r w:rsidRPr="00947021">
        <w:rPr>
          <w:rFonts w:ascii="Aptos" w:hAnsi="Aptos"/>
        </w:rPr>
        <w:t>Ensure alignment of local risks with wider Greater Essex programme risks.</w:t>
      </w:r>
    </w:p>
    <w:p w14:paraId="2A6DB548" w14:textId="77777777" w:rsidR="001A68BC" w:rsidRPr="0097430D" w:rsidRDefault="001A68BC" w:rsidP="001A68BC">
      <w:pPr>
        <w:pStyle w:val="ListBullet"/>
        <w:numPr>
          <w:ilvl w:val="0"/>
          <w:numId w:val="0"/>
        </w:numPr>
        <w:ind w:left="360"/>
      </w:pPr>
    </w:p>
    <w:p w14:paraId="691F665A" w14:textId="3CC3ABDB" w:rsidR="00213952" w:rsidRPr="0097430D" w:rsidRDefault="001A68BC">
      <w:pPr>
        <w:pStyle w:val="Heading2"/>
      </w:pPr>
      <w:r>
        <w:t xml:space="preserve">Workforce and </w:t>
      </w:r>
      <w:r w:rsidR="005D1CE5" w:rsidRPr="0097430D">
        <w:t>Financial Resource Management</w:t>
      </w:r>
    </w:p>
    <w:p w14:paraId="74A66B93" w14:textId="77777777" w:rsidR="00213952" w:rsidRPr="00947021" w:rsidRDefault="005D1CE5">
      <w:pPr>
        <w:pStyle w:val="ListBullet"/>
        <w:rPr>
          <w:rFonts w:ascii="Aptos" w:hAnsi="Aptos"/>
        </w:rPr>
      </w:pPr>
      <w:r w:rsidRPr="00947021">
        <w:rPr>
          <w:rFonts w:ascii="Aptos" w:hAnsi="Aptos"/>
        </w:rPr>
        <w:t>Manage programme budgets and resources ensuring value for money.</w:t>
      </w:r>
    </w:p>
    <w:p w14:paraId="2F79E149" w14:textId="77777777" w:rsidR="00213952" w:rsidRPr="00947021" w:rsidRDefault="005D1CE5">
      <w:pPr>
        <w:pStyle w:val="ListBullet"/>
        <w:rPr>
          <w:rFonts w:ascii="Aptos" w:hAnsi="Aptos"/>
        </w:rPr>
      </w:pPr>
      <w:r w:rsidRPr="00947021">
        <w:rPr>
          <w:rFonts w:ascii="Aptos" w:hAnsi="Aptos"/>
        </w:rPr>
        <w:t>Align with system-wide funding arrangements and controls.</w:t>
      </w:r>
    </w:p>
    <w:p w14:paraId="4A5EE694" w14:textId="77777777" w:rsidR="001A68BC" w:rsidRPr="00947021" w:rsidRDefault="001A68BC" w:rsidP="001A68BC">
      <w:pPr>
        <w:pStyle w:val="ListBullet"/>
        <w:rPr>
          <w:rFonts w:ascii="Aptos" w:hAnsi="Aptos"/>
        </w:rPr>
      </w:pPr>
      <w:r w:rsidRPr="00947021">
        <w:rPr>
          <w:rFonts w:ascii="Aptos" w:hAnsi="Aptos"/>
        </w:rPr>
        <w:t>Work with the Place Lead and council HR leads to develop a workforce transition strategy, addressing TUPE implications, senior leadership design and cultural integration.</w:t>
      </w:r>
    </w:p>
    <w:p w14:paraId="35C0A903" w14:textId="77777777" w:rsidR="001A68BC" w:rsidRPr="00947021" w:rsidRDefault="001A68BC" w:rsidP="001A68BC">
      <w:pPr>
        <w:pStyle w:val="ListBullet"/>
        <w:rPr>
          <w:rFonts w:ascii="Aptos" w:hAnsi="Aptos"/>
        </w:rPr>
      </w:pPr>
      <w:r w:rsidRPr="00947021">
        <w:rPr>
          <w:rFonts w:ascii="Aptos" w:hAnsi="Aptos"/>
        </w:rPr>
        <w:t>Manage the programme budget and resources effectively, providing clear financial oversight and value-for-money assurance to the Joint Committee and Shadow Board.</w:t>
      </w:r>
    </w:p>
    <w:p w14:paraId="41B46910" w14:textId="27A97BAD" w:rsidR="001A68BC" w:rsidRPr="0097430D" w:rsidRDefault="001A68BC" w:rsidP="001A68BC">
      <w:pPr>
        <w:pStyle w:val="ListBullet"/>
        <w:numPr>
          <w:ilvl w:val="0"/>
          <w:numId w:val="0"/>
        </w:numPr>
        <w:ind w:left="360"/>
      </w:pPr>
      <w:r w:rsidRPr="00C83FAE">
        <w:rPr>
          <w:rFonts w:ascii="Aptos" w:hAnsi="Aptos"/>
        </w:rPr>
        <w:t>Commission and manage specialist external support as required, ensuring procurement complies with relevant frameworks and that value is demonstrably achieved.</w:t>
      </w:r>
    </w:p>
    <w:p w14:paraId="71C48329" w14:textId="77777777" w:rsidR="00213952" w:rsidRPr="0097430D" w:rsidRDefault="005D1CE5">
      <w:pPr>
        <w:pStyle w:val="Heading2"/>
      </w:pPr>
      <w:r w:rsidRPr="0097430D">
        <w:lastRenderedPageBreak/>
        <w:t>Communications and Engagement</w:t>
      </w:r>
    </w:p>
    <w:p w14:paraId="522A5DD5" w14:textId="77777777" w:rsidR="001A68BC" w:rsidRPr="00947021" w:rsidRDefault="005D1CE5" w:rsidP="001A68BC">
      <w:pPr>
        <w:pStyle w:val="ListBullet"/>
        <w:rPr>
          <w:rFonts w:ascii="Aptos" w:hAnsi="Aptos"/>
        </w:rPr>
      </w:pPr>
      <w:r w:rsidRPr="00947021">
        <w:rPr>
          <w:rFonts w:ascii="Aptos" w:hAnsi="Aptos"/>
        </w:rPr>
        <w:t>Lead communications strategy ensuring consistent messaging.</w:t>
      </w:r>
    </w:p>
    <w:p w14:paraId="4AA34BA4" w14:textId="4E20DFD1" w:rsidR="001A68BC" w:rsidRPr="00947021" w:rsidRDefault="001A68BC" w:rsidP="001A68BC">
      <w:pPr>
        <w:pStyle w:val="ListBullet"/>
        <w:rPr>
          <w:rFonts w:ascii="Aptos" w:hAnsi="Aptos"/>
        </w:rPr>
      </w:pPr>
      <w:r w:rsidRPr="00947021">
        <w:rPr>
          <w:rFonts w:ascii="Aptos" w:hAnsi="Aptos"/>
        </w:rPr>
        <w:t>Work with council communications leads to maintain a shared narrative that reflects the collaborative intent of the programme and manages expectations carefully throughout the voluntary phase.</w:t>
      </w:r>
    </w:p>
    <w:p w14:paraId="5F36E798" w14:textId="274E1532" w:rsidR="00947021" w:rsidRPr="00947021" w:rsidRDefault="005D1CE5" w:rsidP="00947021">
      <w:pPr>
        <w:pStyle w:val="ListBullet"/>
        <w:rPr>
          <w:rFonts w:ascii="Aptos" w:hAnsi="Aptos"/>
        </w:rPr>
      </w:pPr>
      <w:r w:rsidRPr="00947021">
        <w:rPr>
          <w:rFonts w:ascii="Aptos" w:hAnsi="Aptos"/>
        </w:rPr>
        <w:t>Support Member engagement and public confidence.</w:t>
      </w:r>
    </w:p>
    <w:p w14:paraId="585F8B75" w14:textId="77777777" w:rsidR="00947021" w:rsidRPr="00947021" w:rsidRDefault="00947021" w:rsidP="00947021">
      <w:pPr>
        <w:pStyle w:val="Heading1"/>
      </w:pPr>
      <w:r w:rsidRPr="00947021">
        <w:t>Key Outcomes and Measures of Success</w:t>
      </w:r>
    </w:p>
    <w:p w14:paraId="6475EE27" w14:textId="3AAF1619" w:rsidR="00947021" w:rsidRPr="008914C8" w:rsidRDefault="00947021" w:rsidP="00947021">
      <w:pPr>
        <w:pStyle w:val="ListParagraph"/>
        <w:numPr>
          <w:ilvl w:val="0"/>
          <w:numId w:val="13"/>
        </w:numPr>
        <w:spacing w:before="40" w:after="40" w:line="240" w:lineRule="auto"/>
        <w:ind w:left="426" w:hanging="426"/>
        <w:contextualSpacing w:val="0"/>
        <w:rPr>
          <w:rFonts w:ascii="Aptos" w:hAnsi="Aptos"/>
        </w:rPr>
      </w:pPr>
      <w:r w:rsidRPr="008914C8">
        <w:rPr>
          <w:rFonts w:ascii="Aptos" w:hAnsi="Aptos"/>
        </w:rPr>
        <w:t>An agreed, costed and timebound programme plan in place</w:t>
      </w:r>
      <w:r>
        <w:rPr>
          <w:rFonts w:ascii="Aptos" w:hAnsi="Aptos"/>
        </w:rPr>
        <w:t>,</w:t>
      </w:r>
      <w:r w:rsidRPr="008914C8">
        <w:rPr>
          <w:rFonts w:ascii="Aptos" w:hAnsi="Aptos"/>
        </w:rPr>
        <w:t xml:space="preserve"> aligned with the Greater Essex Implementation Plan.</w:t>
      </w:r>
    </w:p>
    <w:p w14:paraId="1B3E4887" w14:textId="355FC3AC" w:rsidR="00947021" w:rsidRPr="008914C8" w:rsidRDefault="00947021" w:rsidP="00947021">
      <w:pPr>
        <w:pStyle w:val="ListParagraph"/>
        <w:numPr>
          <w:ilvl w:val="0"/>
          <w:numId w:val="13"/>
        </w:numPr>
        <w:spacing w:before="40" w:after="40" w:line="240" w:lineRule="auto"/>
        <w:ind w:left="426" w:hanging="426"/>
        <w:contextualSpacing w:val="0"/>
        <w:rPr>
          <w:rFonts w:ascii="Aptos" w:hAnsi="Aptos"/>
        </w:rPr>
      </w:pPr>
      <w:r w:rsidRPr="008914C8">
        <w:rPr>
          <w:rFonts w:ascii="Aptos" w:hAnsi="Aptos"/>
        </w:rPr>
        <w:t xml:space="preserve">A functioning </w:t>
      </w:r>
      <w:r>
        <w:rPr>
          <w:rFonts w:ascii="Aptos" w:hAnsi="Aptos"/>
        </w:rPr>
        <w:t>local</w:t>
      </w:r>
      <w:r w:rsidRPr="008914C8">
        <w:rPr>
          <w:rFonts w:ascii="Aptos" w:hAnsi="Aptos"/>
        </w:rPr>
        <w:t xml:space="preserve"> PMO with clear governance, reporting disciplines and workstream accountability established.</w:t>
      </w:r>
    </w:p>
    <w:p w14:paraId="3F712E45" w14:textId="4C5D1C00" w:rsidR="00947021" w:rsidRPr="008914C8" w:rsidRDefault="00947021" w:rsidP="00947021">
      <w:pPr>
        <w:pStyle w:val="ListParagraph"/>
        <w:numPr>
          <w:ilvl w:val="0"/>
          <w:numId w:val="13"/>
        </w:numPr>
        <w:spacing w:before="40" w:after="40" w:line="240" w:lineRule="auto"/>
        <w:ind w:left="426" w:hanging="426"/>
        <w:contextualSpacing w:val="0"/>
        <w:rPr>
          <w:rFonts w:ascii="Aptos" w:hAnsi="Aptos"/>
        </w:rPr>
      </w:pPr>
      <w:r w:rsidRPr="008914C8">
        <w:rPr>
          <w:rFonts w:ascii="Aptos" w:hAnsi="Aptos"/>
        </w:rPr>
        <w:t xml:space="preserve">Strong, trust-based working relationships with officers and Members across all </w:t>
      </w:r>
      <w:r>
        <w:rPr>
          <w:rFonts w:ascii="Aptos" w:hAnsi="Aptos"/>
        </w:rPr>
        <w:t>consolidating</w:t>
      </w:r>
      <w:r w:rsidRPr="008914C8">
        <w:rPr>
          <w:rFonts w:ascii="Aptos" w:hAnsi="Aptos"/>
        </w:rPr>
        <w:t xml:space="preserve"> councils, evidenced through engagement and feedback.</w:t>
      </w:r>
    </w:p>
    <w:p w14:paraId="7408F4FD" w14:textId="354B4219" w:rsidR="00947021" w:rsidRPr="008914C8" w:rsidRDefault="00947021" w:rsidP="00947021">
      <w:pPr>
        <w:pStyle w:val="ListParagraph"/>
        <w:numPr>
          <w:ilvl w:val="0"/>
          <w:numId w:val="13"/>
        </w:numPr>
        <w:spacing w:before="40" w:after="40" w:line="240" w:lineRule="auto"/>
        <w:ind w:left="426" w:hanging="426"/>
        <w:contextualSpacing w:val="0"/>
        <w:rPr>
          <w:rFonts w:ascii="Aptos" w:hAnsi="Aptos"/>
        </w:rPr>
      </w:pPr>
      <w:r w:rsidRPr="008914C8">
        <w:rPr>
          <w:rFonts w:ascii="Aptos" w:hAnsi="Aptos"/>
        </w:rPr>
        <w:t>Accurate, timely and well-received reporting to the Shadow Board, the Joint Committee and the Greater Essex Implementation Team throughout the programme.</w:t>
      </w:r>
    </w:p>
    <w:p w14:paraId="16AB8BA5" w14:textId="77777777" w:rsidR="00947021" w:rsidRPr="008914C8" w:rsidRDefault="00947021" w:rsidP="00947021">
      <w:pPr>
        <w:pStyle w:val="ListParagraph"/>
        <w:numPr>
          <w:ilvl w:val="0"/>
          <w:numId w:val="13"/>
        </w:numPr>
        <w:spacing w:before="40" w:after="40" w:line="240" w:lineRule="auto"/>
        <w:ind w:left="426" w:hanging="426"/>
        <w:contextualSpacing w:val="0"/>
        <w:rPr>
          <w:rFonts w:ascii="Aptos" w:hAnsi="Aptos"/>
        </w:rPr>
      </w:pPr>
      <w:r w:rsidRPr="008914C8">
        <w:rPr>
          <w:rFonts w:ascii="Aptos" w:hAnsi="Aptos"/>
        </w:rPr>
        <w:t>Effective management of programme risks, with no significant surprises arising from failures of identification, escalation or mitigation.</w:t>
      </w:r>
    </w:p>
    <w:p w14:paraId="4E18E4A0" w14:textId="77777777" w:rsidR="00947021" w:rsidRPr="008914C8" w:rsidRDefault="00947021" w:rsidP="00947021">
      <w:pPr>
        <w:pStyle w:val="ListParagraph"/>
        <w:numPr>
          <w:ilvl w:val="0"/>
          <w:numId w:val="13"/>
        </w:numPr>
        <w:spacing w:before="40" w:after="40" w:line="240" w:lineRule="auto"/>
        <w:ind w:left="426" w:hanging="426"/>
        <w:contextualSpacing w:val="0"/>
        <w:rPr>
          <w:rFonts w:ascii="Aptos" w:hAnsi="Aptos"/>
        </w:rPr>
      </w:pPr>
      <w:r w:rsidRPr="008914C8">
        <w:rPr>
          <w:rFonts w:ascii="Aptos" w:hAnsi="Aptos"/>
        </w:rPr>
        <w:t>A workforce transition strategy developed and agreed ahead of any shadow authority period.</w:t>
      </w:r>
    </w:p>
    <w:p w14:paraId="2C07A3FF" w14:textId="42F95D98" w:rsidR="00947021" w:rsidRDefault="00947021" w:rsidP="00947021">
      <w:pPr>
        <w:pStyle w:val="ListParagraph"/>
        <w:numPr>
          <w:ilvl w:val="0"/>
          <w:numId w:val="13"/>
        </w:numPr>
        <w:spacing w:before="40" w:after="40" w:line="240" w:lineRule="auto"/>
        <w:ind w:left="426" w:hanging="426"/>
        <w:contextualSpacing w:val="0"/>
        <w:rPr>
          <w:rFonts w:ascii="Aptos" w:hAnsi="Aptos"/>
        </w:rPr>
      </w:pPr>
      <w:r w:rsidRPr="008914C8">
        <w:rPr>
          <w:rFonts w:ascii="Aptos" w:hAnsi="Aptos"/>
        </w:rPr>
        <w:t xml:space="preserve">Preparation activities that deliver demonstrable benefit to residents and services in </w:t>
      </w:r>
      <w:r>
        <w:rPr>
          <w:rFonts w:ascii="Aptos" w:hAnsi="Aptos"/>
        </w:rPr>
        <w:t>the new unitary authority area</w:t>
      </w:r>
      <w:r w:rsidRPr="008914C8">
        <w:rPr>
          <w:rFonts w:ascii="Aptos" w:hAnsi="Aptos"/>
        </w:rPr>
        <w:t>, independent of the final LGR outcome.</w:t>
      </w:r>
    </w:p>
    <w:p w14:paraId="3C2B2742" w14:textId="47338EA0" w:rsidR="00947021" w:rsidRPr="00FE131D" w:rsidRDefault="00947021" w:rsidP="00947021">
      <w:pPr>
        <w:pStyle w:val="ListParagraph"/>
        <w:numPr>
          <w:ilvl w:val="0"/>
          <w:numId w:val="13"/>
        </w:numPr>
        <w:spacing w:before="40" w:after="40" w:line="240" w:lineRule="auto"/>
        <w:ind w:left="426" w:hanging="426"/>
        <w:contextualSpacing w:val="0"/>
        <w:rPr>
          <w:rFonts w:ascii="Aptos" w:hAnsi="Aptos"/>
        </w:rPr>
      </w:pPr>
      <w:r w:rsidRPr="00FE131D">
        <w:rPr>
          <w:rFonts w:ascii="Aptos" w:hAnsi="Aptos"/>
        </w:rPr>
        <w:t>Safe and legal transition to the new Unitary Authority with minimal service disruption</w:t>
      </w:r>
      <w:r>
        <w:rPr>
          <w:rFonts w:ascii="Aptos" w:hAnsi="Aptos"/>
        </w:rPr>
        <w:t>.</w:t>
      </w:r>
      <w:r w:rsidRPr="00FE131D">
        <w:rPr>
          <w:rFonts w:ascii="Aptos" w:hAnsi="Aptos"/>
        </w:rPr>
        <w:t xml:space="preserve"> </w:t>
      </w:r>
    </w:p>
    <w:p w14:paraId="119DF037" w14:textId="77777777" w:rsidR="001A68BC" w:rsidRDefault="001A68BC" w:rsidP="001A68BC">
      <w:pPr>
        <w:pStyle w:val="ListBullet"/>
        <w:numPr>
          <w:ilvl w:val="0"/>
          <w:numId w:val="0"/>
        </w:numPr>
        <w:ind w:left="360" w:hanging="360"/>
      </w:pPr>
    </w:p>
    <w:p w14:paraId="1820FFD7" w14:textId="77777777" w:rsidR="00947021" w:rsidRDefault="00947021" w:rsidP="001A68BC">
      <w:pPr>
        <w:pStyle w:val="ListBullet"/>
        <w:numPr>
          <w:ilvl w:val="0"/>
          <w:numId w:val="0"/>
        </w:numPr>
        <w:ind w:left="360" w:hanging="360"/>
      </w:pPr>
    </w:p>
    <w:p w14:paraId="294AD666" w14:textId="77777777" w:rsidR="00947021" w:rsidRPr="00947021" w:rsidRDefault="00947021" w:rsidP="00947021">
      <w:pPr>
        <w:spacing w:before="280" w:after="120"/>
        <w:rPr>
          <w:rFonts w:asciiTheme="majorHAnsi" w:eastAsiaTheme="majorEastAsia" w:hAnsiTheme="majorHAnsi" w:cstheme="majorBidi"/>
          <w:b/>
          <w:bCs/>
          <w:color w:val="365F91" w:themeColor="accent1" w:themeShade="BF"/>
          <w:sz w:val="28"/>
          <w:szCs w:val="28"/>
        </w:rPr>
      </w:pPr>
      <w:r w:rsidRPr="00947021">
        <w:rPr>
          <w:rFonts w:asciiTheme="majorHAnsi" w:eastAsiaTheme="majorEastAsia" w:hAnsiTheme="majorHAnsi" w:cstheme="majorBidi"/>
          <w:b/>
          <w:bCs/>
          <w:color w:val="365F91" w:themeColor="accent1" w:themeShade="BF"/>
          <w:sz w:val="28"/>
          <w:szCs w:val="28"/>
        </w:rPr>
        <w:t>Person Specification</w:t>
      </w:r>
    </w:p>
    <w:p w14:paraId="370FD911" w14:textId="77777777" w:rsidR="00947021" w:rsidRPr="008914C8" w:rsidRDefault="00947021" w:rsidP="00947021">
      <w:pPr>
        <w:spacing w:before="60" w:after="60"/>
        <w:rPr>
          <w:rFonts w:ascii="Aptos" w:hAnsi="Aptos"/>
        </w:rPr>
      </w:pPr>
      <w:r w:rsidRPr="008914C8">
        <w:rPr>
          <w:rFonts w:ascii="Aptos" w:hAnsi="Aptos"/>
        </w:rPr>
        <w:t>Essential criteria will be assessed at all stages of the selection process. Desirable criteria will be used to differentiate between candidates who meet the essential standard.</w:t>
      </w:r>
    </w:p>
    <w:p w14:paraId="76072060" w14:textId="77777777" w:rsidR="00947021" w:rsidRPr="00947021" w:rsidRDefault="00947021" w:rsidP="00947021">
      <w:pPr>
        <w:pStyle w:val="Heading2"/>
      </w:pPr>
      <w:r w:rsidRPr="00947021">
        <w:t>Qualifications</w:t>
      </w:r>
    </w:p>
    <w:p w14:paraId="0A71F811" w14:textId="77777777" w:rsidR="00947021" w:rsidRDefault="00947021" w:rsidP="00947021">
      <w:pPr>
        <w:pStyle w:val="ListParagraph"/>
        <w:numPr>
          <w:ilvl w:val="0"/>
          <w:numId w:val="14"/>
        </w:numPr>
        <w:spacing w:before="80" w:after="40" w:line="240" w:lineRule="auto"/>
        <w:contextualSpacing w:val="0"/>
        <w:rPr>
          <w:rFonts w:ascii="Aptos" w:hAnsi="Aptos"/>
        </w:rPr>
      </w:pPr>
      <w:r>
        <w:rPr>
          <w:rFonts w:ascii="Aptos" w:hAnsi="Aptos"/>
        </w:rPr>
        <w:t>Educated to Degree level or holds the equivalent in experience in public administration, policy, business, strategy, programme management or relevant fields.</w:t>
      </w:r>
    </w:p>
    <w:p w14:paraId="51465AF3" w14:textId="77777777" w:rsidR="00947021" w:rsidRDefault="00947021" w:rsidP="00947021">
      <w:pPr>
        <w:pStyle w:val="ListParagraph"/>
        <w:numPr>
          <w:ilvl w:val="0"/>
          <w:numId w:val="14"/>
        </w:numPr>
        <w:spacing w:before="80" w:after="40" w:line="240" w:lineRule="auto"/>
        <w:contextualSpacing w:val="0"/>
        <w:rPr>
          <w:rFonts w:ascii="Aptos" w:hAnsi="Aptos"/>
        </w:rPr>
      </w:pPr>
      <w:r>
        <w:rPr>
          <w:rFonts w:ascii="Aptos" w:hAnsi="Aptos"/>
        </w:rPr>
        <w:t>Evidence of continued professional development</w:t>
      </w:r>
    </w:p>
    <w:p w14:paraId="131BEDA7" w14:textId="77777777" w:rsidR="00947021" w:rsidRPr="005C7F90" w:rsidRDefault="00947021" w:rsidP="00947021">
      <w:pPr>
        <w:pStyle w:val="ListParagraph"/>
        <w:numPr>
          <w:ilvl w:val="0"/>
          <w:numId w:val="14"/>
        </w:numPr>
        <w:spacing w:before="80" w:after="40" w:line="240" w:lineRule="auto"/>
        <w:contextualSpacing w:val="0"/>
        <w:rPr>
          <w:rFonts w:ascii="Aptos" w:hAnsi="Aptos"/>
        </w:rPr>
      </w:pPr>
      <w:r>
        <w:rPr>
          <w:rFonts w:ascii="Aptos" w:hAnsi="Aptos"/>
        </w:rPr>
        <w:t xml:space="preserve">Professional qualification or demonstrable experience in programme management and/or strategic leadership disciplines </w:t>
      </w:r>
    </w:p>
    <w:p w14:paraId="3178DD2F" w14:textId="77777777" w:rsidR="00947021" w:rsidRPr="00947021" w:rsidRDefault="00947021" w:rsidP="00947021">
      <w:pPr>
        <w:pStyle w:val="Heading2"/>
      </w:pPr>
      <w:r w:rsidRPr="00947021">
        <w:t>Experience — Essential</w:t>
      </w:r>
    </w:p>
    <w:p w14:paraId="04CA32CA"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Proven track record of leading large-scale, complex transformation or change programmes, ideally within local government or the wider public sector.</w:t>
      </w:r>
    </w:p>
    <w:p w14:paraId="5C0B1346"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lastRenderedPageBreak/>
        <w:t>Demonstrable experience of delivering major programmes on time, within budget and to agreed outcomes in a multi-organisational environment.</w:t>
      </w:r>
    </w:p>
    <w:p w14:paraId="2FEF3E7F"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Experience of operating at senior leadership level, advising and influencing elected Members, chief executives and senior politicians.</w:t>
      </w:r>
    </w:p>
    <w:p w14:paraId="083D4E5B"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Experience of designing and leading programme management office (PMO) functions across complex, multi-workstream programmes.</w:t>
      </w:r>
    </w:p>
    <w:p w14:paraId="32F39FB9"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Strong background in organisational change and redesign, including workforce, digital and financial transformation.</w:t>
      </w:r>
    </w:p>
    <w:p w14:paraId="47434B8E"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Evidence of operating effectively in politically sensitive environments, including where legal or governance constraints shape the delivery context.</w:t>
      </w:r>
    </w:p>
    <w:p w14:paraId="7BB66E22"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Experience of managing stakeholder engagement across diverse and sometimes competing interests at a large scale.</w:t>
      </w:r>
    </w:p>
    <w:p w14:paraId="20AC0F9B" w14:textId="77777777" w:rsidR="00947021" w:rsidRPr="00947021" w:rsidRDefault="00947021" w:rsidP="00947021">
      <w:pPr>
        <w:pStyle w:val="Heading2"/>
      </w:pPr>
      <w:r w:rsidRPr="00947021">
        <w:t>Experience — Desirable</w:t>
      </w:r>
    </w:p>
    <w:p w14:paraId="03DF6D87"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Previous experience as a Transformation or Programme Director in local government or a related public sector setting.</w:t>
      </w:r>
    </w:p>
    <w:p w14:paraId="2D797AB5"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Direct experience of local government reorganisation, boundary review or equivalent structural change.</w:t>
      </w:r>
    </w:p>
    <w:p w14:paraId="2865411B"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Experience of working across county and district or city tiers of local government.</w:t>
      </w:r>
    </w:p>
    <w:p w14:paraId="4F7F69FF" w14:textId="78C81144"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 xml:space="preserve">Knowledge of the </w:t>
      </w:r>
      <w:r>
        <w:rPr>
          <w:rFonts w:ascii="Aptos" w:hAnsi="Aptos"/>
        </w:rPr>
        <w:t>new unitary authority area within</w:t>
      </w:r>
      <w:r w:rsidRPr="008914C8">
        <w:rPr>
          <w:rFonts w:ascii="Aptos" w:hAnsi="Aptos"/>
        </w:rPr>
        <w:t xml:space="preserve"> Essex or </w:t>
      </w:r>
      <w:r>
        <w:rPr>
          <w:rFonts w:ascii="Aptos" w:hAnsi="Aptos"/>
        </w:rPr>
        <w:t xml:space="preserve">the </w:t>
      </w:r>
      <w:r w:rsidRPr="008914C8">
        <w:rPr>
          <w:rFonts w:ascii="Aptos" w:hAnsi="Aptos"/>
        </w:rPr>
        <w:t>wide</w:t>
      </w:r>
      <w:r>
        <w:rPr>
          <w:rFonts w:ascii="Aptos" w:hAnsi="Aptos"/>
        </w:rPr>
        <w:t>r</w:t>
      </w:r>
      <w:r w:rsidRPr="008914C8">
        <w:rPr>
          <w:rFonts w:ascii="Aptos" w:hAnsi="Aptos"/>
        </w:rPr>
        <w:t xml:space="preserve"> Essex area and its communities.</w:t>
      </w:r>
    </w:p>
    <w:p w14:paraId="66123686" w14:textId="77777777" w:rsidR="00947021" w:rsidRPr="00947021" w:rsidRDefault="00947021" w:rsidP="00947021">
      <w:pPr>
        <w:pStyle w:val="Heading2"/>
      </w:pPr>
      <w:r w:rsidRPr="00947021">
        <w:t>Skills and Knowledge — Essential</w:t>
      </w:r>
    </w:p>
    <w:p w14:paraId="63C2992E" w14:textId="77777777" w:rsidR="00947021"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Expert programme and project management skills, including risk management, dependency tracking and benefits realisation.</w:t>
      </w:r>
    </w:p>
    <w:p w14:paraId="3B7B6622" w14:textId="77777777" w:rsidR="00947021" w:rsidRPr="005C7F90" w:rsidRDefault="00947021" w:rsidP="00947021">
      <w:pPr>
        <w:pStyle w:val="ListParagraph"/>
        <w:numPr>
          <w:ilvl w:val="0"/>
          <w:numId w:val="13"/>
        </w:numPr>
        <w:spacing w:before="40" w:after="40" w:line="240" w:lineRule="auto"/>
        <w:contextualSpacing w:val="0"/>
        <w:rPr>
          <w:rFonts w:ascii="Aptos" w:hAnsi="Aptos"/>
        </w:rPr>
      </w:pPr>
      <w:r w:rsidRPr="003B52E5">
        <w:rPr>
          <w:rFonts w:ascii="Aptos" w:hAnsi="Aptos"/>
        </w:rPr>
        <w:t>Confidence and credibility to challenge constructively, maintain momentum, and provide clear, unambiguous direction</w:t>
      </w:r>
    </w:p>
    <w:p w14:paraId="0809F9D3"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Strong understanding of local government legislation, statutory frameworks and governance responsibilities relevant to LGR.</w:t>
      </w:r>
    </w:p>
    <w:p w14:paraId="01C1D478"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High-level financial and commercial acumen, including management of multi-</w:t>
      </w:r>
      <w:proofErr w:type="gramStart"/>
      <w:r w:rsidRPr="008914C8">
        <w:rPr>
          <w:rFonts w:ascii="Aptos" w:hAnsi="Aptos"/>
        </w:rPr>
        <w:t>million pound</w:t>
      </w:r>
      <w:proofErr w:type="gramEnd"/>
      <w:r w:rsidRPr="008914C8">
        <w:rPr>
          <w:rFonts w:ascii="Aptos" w:hAnsi="Aptos"/>
        </w:rPr>
        <w:t xml:space="preserve"> programme budgets and procurement.</w:t>
      </w:r>
    </w:p>
    <w:p w14:paraId="0400B7A5"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Exceptional communication, influencing and negotiation skills across a wide range of audiences including Members, officers, media and the public.</w:t>
      </w:r>
    </w:p>
    <w:p w14:paraId="2A91E353"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Ability to translate complex statutory and political context into clear operational planning and delivery.</w:t>
      </w:r>
    </w:p>
    <w:p w14:paraId="39CAC255"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Strong analytical and judgement skills, able to assess risk and make sound recommendations under uncertainty and pressure.</w:t>
      </w:r>
    </w:p>
    <w:p w14:paraId="328E03A5"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Digital literacy, with ability to drive effective use of technology in programme management and service transition.</w:t>
      </w:r>
    </w:p>
    <w:p w14:paraId="0D2E9B20" w14:textId="77777777" w:rsidR="00947021" w:rsidRPr="00947021" w:rsidRDefault="00947021" w:rsidP="00947021">
      <w:pPr>
        <w:pStyle w:val="Heading2"/>
      </w:pPr>
      <w:r w:rsidRPr="00947021">
        <w:t>Skills and Knowledge — Desirable</w:t>
      </w:r>
    </w:p>
    <w:p w14:paraId="5001C75B"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Understanding of TUPE, workforce harmonisation and employment law implications in organisational change.</w:t>
      </w:r>
    </w:p>
    <w:p w14:paraId="6F49D8C1"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Knowledge of LGR legislation, Structural Changes Orders and MHCLG guidance.</w:t>
      </w:r>
    </w:p>
    <w:p w14:paraId="7F0D5720" w14:textId="77777777" w:rsidR="00947021" w:rsidRPr="00947021" w:rsidRDefault="00947021" w:rsidP="00947021">
      <w:pPr>
        <w:pStyle w:val="Heading2"/>
      </w:pPr>
      <w:r w:rsidRPr="00947021">
        <w:lastRenderedPageBreak/>
        <w:t>Personal Qualities — Essential</w:t>
      </w:r>
    </w:p>
    <w:p w14:paraId="3DD45FEF"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Calm, grounded and resilient under pressure — able to maintain momentum through sustained complexity and uncertainty.</w:t>
      </w:r>
    </w:p>
    <w:p w14:paraId="177130AA"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Politically astute with high levels of discretion, sensitivity and professional judgement.</w:t>
      </w:r>
    </w:p>
    <w:p w14:paraId="6C649F41"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Pr>
          <w:rFonts w:ascii="Aptos" w:hAnsi="Aptos"/>
        </w:rPr>
        <w:t xml:space="preserve">An inclusive, </w:t>
      </w:r>
      <w:r w:rsidRPr="008914C8">
        <w:rPr>
          <w:rFonts w:ascii="Aptos" w:hAnsi="Aptos"/>
        </w:rPr>
        <w:t>collaborative</w:t>
      </w:r>
      <w:r>
        <w:rPr>
          <w:rFonts w:ascii="Aptos" w:hAnsi="Aptos"/>
        </w:rPr>
        <w:t xml:space="preserve"> leadership style</w:t>
      </w:r>
      <w:r w:rsidRPr="008914C8">
        <w:rPr>
          <w:rFonts w:ascii="Aptos" w:hAnsi="Aptos"/>
        </w:rPr>
        <w:t xml:space="preserve"> — able to build trust across sovereign organisations with different cultures, priorities and political complexions.</w:t>
      </w:r>
    </w:p>
    <w:p w14:paraId="6B3E74FA"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 xml:space="preserve">Strategic </w:t>
      </w:r>
      <w:r>
        <w:rPr>
          <w:rFonts w:ascii="Aptos" w:hAnsi="Aptos"/>
        </w:rPr>
        <w:t xml:space="preserve">and analytical </w:t>
      </w:r>
      <w:r w:rsidRPr="008914C8">
        <w:rPr>
          <w:rFonts w:ascii="Aptos" w:hAnsi="Aptos"/>
        </w:rPr>
        <w:t>thinker with the drive and discipline to translate vision into operational delivery.</w:t>
      </w:r>
    </w:p>
    <w:p w14:paraId="561A781B"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Results-focused, with a relentless commitment to achieving outcomes for residents and communities.</w:t>
      </w:r>
    </w:p>
    <w:p w14:paraId="507E8331"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Strong personal credibility and integrity, able to earn and sustain the confidence of senior leaders in challenging circumstances.</w:t>
      </w:r>
    </w:p>
    <w:p w14:paraId="207BD169"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Pr>
          <w:rFonts w:ascii="Aptos" w:hAnsi="Aptos"/>
        </w:rPr>
        <w:t>Strong c</w:t>
      </w:r>
      <w:r w:rsidRPr="008914C8">
        <w:rPr>
          <w:rFonts w:ascii="Aptos" w:hAnsi="Aptos"/>
        </w:rPr>
        <w:t>ommit</w:t>
      </w:r>
      <w:r>
        <w:rPr>
          <w:rFonts w:ascii="Aptos" w:hAnsi="Aptos"/>
        </w:rPr>
        <w:t>ment</w:t>
      </w:r>
      <w:r w:rsidRPr="008914C8">
        <w:rPr>
          <w:rFonts w:ascii="Aptos" w:hAnsi="Aptos"/>
        </w:rPr>
        <w:t xml:space="preserve"> to public service values, equality, diversity and inclusion.</w:t>
      </w:r>
    </w:p>
    <w:p w14:paraId="491D5E1E" w14:textId="77777777" w:rsidR="00947021" w:rsidRPr="008914C8"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Adaptable and innovative, comfortable shaping solutions</w:t>
      </w:r>
      <w:r>
        <w:rPr>
          <w:rFonts w:ascii="Aptos" w:hAnsi="Aptos"/>
        </w:rPr>
        <w:t xml:space="preserve"> and maintaining pace</w:t>
      </w:r>
      <w:r w:rsidRPr="008914C8">
        <w:rPr>
          <w:rFonts w:ascii="Aptos" w:hAnsi="Aptos"/>
        </w:rPr>
        <w:t xml:space="preserve"> in ambiguous and fast-moving situations.</w:t>
      </w:r>
    </w:p>
    <w:p w14:paraId="06B08EDA" w14:textId="2523EF0C" w:rsidR="00947021" w:rsidRDefault="00947021" w:rsidP="00947021">
      <w:pPr>
        <w:pStyle w:val="ListParagraph"/>
        <w:numPr>
          <w:ilvl w:val="0"/>
          <w:numId w:val="13"/>
        </w:numPr>
        <w:spacing w:before="40" w:after="40" w:line="240" w:lineRule="auto"/>
        <w:contextualSpacing w:val="0"/>
        <w:rPr>
          <w:rFonts w:ascii="Aptos" w:hAnsi="Aptos"/>
        </w:rPr>
      </w:pPr>
      <w:r w:rsidRPr="008914C8">
        <w:rPr>
          <w:rFonts w:ascii="Aptos" w:hAnsi="Aptos"/>
        </w:rPr>
        <w:t>Ability and willingness to travel regularly across Essex</w:t>
      </w:r>
      <w:r w:rsidR="00C83FAE">
        <w:rPr>
          <w:rFonts w:ascii="Aptos" w:hAnsi="Aptos"/>
        </w:rPr>
        <w:t xml:space="preserve">, </w:t>
      </w:r>
      <w:r w:rsidRPr="008914C8">
        <w:rPr>
          <w:rFonts w:ascii="Aptos" w:hAnsi="Aptos"/>
        </w:rPr>
        <w:t xml:space="preserve"> to Chelmsford and London as required.</w:t>
      </w:r>
    </w:p>
    <w:p w14:paraId="3E64EE87" w14:textId="77777777" w:rsidR="00947021" w:rsidRPr="005C7F90" w:rsidRDefault="00947021" w:rsidP="00947021">
      <w:pPr>
        <w:pStyle w:val="ListParagraph"/>
        <w:numPr>
          <w:ilvl w:val="0"/>
          <w:numId w:val="13"/>
        </w:numPr>
        <w:spacing w:before="40" w:after="40" w:line="240" w:lineRule="auto"/>
        <w:contextualSpacing w:val="0"/>
        <w:rPr>
          <w:rFonts w:ascii="Aptos" w:hAnsi="Aptos"/>
        </w:rPr>
      </w:pPr>
      <w:r>
        <w:rPr>
          <w:rFonts w:ascii="Aptos" w:hAnsi="Aptos"/>
        </w:rPr>
        <w:t>Flexibility to attend evening meetings as and when required.</w:t>
      </w:r>
    </w:p>
    <w:p w14:paraId="37619AB2" w14:textId="77777777" w:rsidR="00947021" w:rsidRDefault="00947021" w:rsidP="001A68BC">
      <w:pPr>
        <w:pStyle w:val="ListBullet"/>
        <w:numPr>
          <w:ilvl w:val="0"/>
          <w:numId w:val="0"/>
        </w:numPr>
        <w:ind w:left="360" w:hanging="360"/>
      </w:pPr>
    </w:p>
    <w:sectPr w:rsidR="009470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FE4335"/>
    <w:multiLevelType w:val="hybridMultilevel"/>
    <w:tmpl w:val="0A4C43AC"/>
    <w:lvl w:ilvl="0" w:tplc="1D56ED3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3093F"/>
    <w:multiLevelType w:val="hybridMultilevel"/>
    <w:tmpl w:val="FFFFFFFF"/>
    <w:lvl w:ilvl="0" w:tplc="C8A4DF12">
      <w:start w:val="1"/>
      <w:numFmt w:val="bullet"/>
      <w:lvlText w:val="•"/>
      <w:lvlJc w:val="left"/>
      <w:pPr>
        <w:ind w:left="600" w:hanging="300"/>
      </w:pPr>
    </w:lvl>
    <w:lvl w:ilvl="1" w:tplc="72E8A268">
      <w:numFmt w:val="decimal"/>
      <w:lvlText w:val=""/>
      <w:lvlJc w:val="left"/>
      <w:pPr>
        <w:ind w:left="0" w:firstLine="0"/>
      </w:pPr>
    </w:lvl>
    <w:lvl w:ilvl="2" w:tplc="F91C420E">
      <w:numFmt w:val="decimal"/>
      <w:lvlText w:val=""/>
      <w:lvlJc w:val="left"/>
      <w:pPr>
        <w:ind w:left="0" w:firstLine="0"/>
      </w:pPr>
    </w:lvl>
    <w:lvl w:ilvl="3" w:tplc="A4ACEDD4">
      <w:numFmt w:val="decimal"/>
      <w:lvlText w:val=""/>
      <w:lvlJc w:val="left"/>
      <w:pPr>
        <w:ind w:left="0" w:firstLine="0"/>
      </w:pPr>
    </w:lvl>
    <w:lvl w:ilvl="4" w:tplc="8FA2CC66">
      <w:numFmt w:val="decimal"/>
      <w:lvlText w:val=""/>
      <w:lvlJc w:val="left"/>
      <w:pPr>
        <w:ind w:left="0" w:firstLine="0"/>
      </w:pPr>
    </w:lvl>
    <w:lvl w:ilvl="5" w:tplc="250EEB00">
      <w:numFmt w:val="decimal"/>
      <w:lvlText w:val=""/>
      <w:lvlJc w:val="left"/>
      <w:pPr>
        <w:ind w:left="0" w:firstLine="0"/>
      </w:pPr>
    </w:lvl>
    <w:lvl w:ilvl="6" w:tplc="06C031AC">
      <w:numFmt w:val="decimal"/>
      <w:lvlText w:val=""/>
      <w:lvlJc w:val="left"/>
      <w:pPr>
        <w:ind w:left="0" w:firstLine="0"/>
      </w:pPr>
    </w:lvl>
    <w:lvl w:ilvl="7" w:tplc="F08E0EB8">
      <w:numFmt w:val="decimal"/>
      <w:lvlText w:val=""/>
      <w:lvlJc w:val="left"/>
      <w:pPr>
        <w:ind w:left="0" w:firstLine="0"/>
      </w:pPr>
    </w:lvl>
    <w:lvl w:ilvl="8" w:tplc="2EC247E8">
      <w:numFmt w:val="decimal"/>
      <w:lvlText w:val=""/>
      <w:lvlJc w:val="left"/>
      <w:pPr>
        <w:ind w:left="0" w:firstLine="0"/>
      </w:pPr>
    </w:lvl>
  </w:abstractNum>
  <w:num w:numId="1" w16cid:durableId="1841192998">
    <w:abstractNumId w:val="8"/>
  </w:num>
  <w:num w:numId="2" w16cid:durableId="152987877">
    <w:abstractNumId w:val="6"/>
  </w:num>
  <w:num w:numId="3" w16cid:durableId="885918251">
    <w:abstractNumId w:val="5"/>
  </w:num>
  <w:num w:numId="4" w16cid:durableId="1258445553">
    <w:abstractNumId w:val="4"/>
  </w:num>
  <w:num w:numId="5" w16cid:durableId="1744987964">
    <w:abstractNumId w:val="7"/>
  </w:num>
  <w:num w:numId="6" w16cid:durableId="961764540">
    <w:abstractNumId w:val="3"/>
  </w:num>
  <w:num w:numId="7" w16cid:durableId="1014260788">
    <w:abstractNumId w:val="2"/>
  </w:num>
  <w:num w:numId="8" w16cid:durableId="2144957102">
    <w:abstractNumId w:val="1"/>
  </w:num>
  <w:num w:numId="9" w16cid:durableId="1319187824">
    <w:abstractNumId w:val="0"/>
  </w:num>
  <w:num w:numId="10" w16cid:durableId="1928615155">
    <w:abstractNumId w:val="10"/>
  </w:num>
  <w:num w:numId="11" w16cid:durableId="1598709984">
    <w:abstractNumId w:val="8"/>
  </w:num>
  <w:num w:numId="12" w16cid:durableId="449318843">
    <w:abstractNumId w:val="8"/>
  </w:num>
  <w:num w:numId="13" w16cid:durableId="421801231">
    <w:abstractNumId w:val="10"/>
    <w:lvlOverride w:ilvl="0">
      <w:startOverride w:val="1"/>
    </w:lvlOverride>
  </w:num>
  <w:num w:numId="14" w16cid:durableId="658384568">
    <w:abstractNumId w:val="9"/>
  </w:num>
  <w:num w:numId="15" w16cid:durableId="1641154451">
    <w:abstractNumId w:val="8"/>
  </w:num>
  <w:num w:numId="16" w16cid:durableId="1272666797">
    <w:abstractNumId w:val="8"/>
  </w:num>
  <w:num w:numId="17" w16cid:durableId="1939017667">
    <w:abstractNumId w:val="8"/>
  </w:num>
  <w:num w:numId="18" w16cid:durableId="909580269">
    <w:abstractNumId w:val="8"/>
  </w:num>
  <w:num w:numId="19" w16cid:durableId="1443769872">
    <w:abstractNumId w:val="8"/>
  </w:num>
  <w:num w:numId="20" w16cid:durableId="691229514">
    <w:abstractNumId w:val="8"/>
  </w:num>
  <w:num w:numId="21" w16cid:durableId="435322356">
    <w:abstractNumId w:val="8"/>
  </w:num>
  <w:num w:numId="22" w16cid:durableId="1977566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95E"/>
    <w:rsid w:val="001A68BC"/>
    <w:rsid w:val="00213952"/>
    <w:rsid w:val="0029639D"/>
    <w:rsid w:val="003010EF"/>
    <w:rsid w:val="00326F90"/>
    <w:rsid w:val="00947021"/>
    <w:rsid w:val="0097430D"/>
    <w:rsid w:val="00AA1D8D"/>
    <w:rsid w:val="00B47730"/>
    <w:rsid w:val="00C71694"/>
    <w:rsid w:val="00C83FAE"/>
    <w:rsid w:val="00CB0664"/>
    <w:rsid w:val="00D23ED1"/>
    <w:rsid w:val="00D6112A"/>
    <w:rsid w:val="00F02B0B"/>
    <w:rsid w:val="00F972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F7A1A"/>
  <w14:defaultImageDpi w14:val="300"/>
  <w15:docId w15:val="{6558FD01-2770-4CC9-9D5B-9FA902F6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1567</Words>
  <Characters>10501</Characters>
  <Application>Microsoft Office Word</Application>
  <DocSecurity>0</DocSecurity>
  <Lines>210</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Paula Maginnis</cp:lastModifiedBy>
  <cp:revision>3</cp:revision>
  <dcterms:created xsi:type="dcterms:W3CDTF">2026-06-08T16:30:00Z</dcterms:created>
  <dcterms:modified xsi:type="dcterms:W3CDTF">2026-06-18T13:07:00Z</dcterms:modified>
  <cp:category/>
</cp:coreProperties>
</file>